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53A2" w14:textId="2B044CCB" w:rsidR="001124BE" w:rsidRDefault="001124BE" w:rsidP="001124BE">
      <w:pPr>
        <w:pStyle w:val="Titre1"/>
        <w:jc w:val="center"/>
      </w:pPr>
      <w:r w:rsidRPr="001124BE">
        <w:rPr>
          <w:bdr w:val="single" w:sz="4" w:space="0" w:color="auto"/>
        </w:rPr>
        <w:t xml:space="preserve">Extraits du PJL mi-février 2026 concernant l’ADEME (source : </w:t>
      </w:r>
      <w:hyperlink r:id="rId4" w:history="1">
        <w:r w:rsidRPr="001124BE">
          <w:rPr>
            <w:rStyle w:val="Lienhypertexte"/>
            <w:bdr w:val="single" w:sz="4" w:space="0" w:color="auto"/>
          </w:rPr>
          <w:t>https://www.contexte.com/</w:t>
        </w:r>
      </w:hyperlink>
      <w:r w:rsidRPr="001124BE">
        <w:rPr>
          <w:bdr w:val="single" w:sz="4" w:space="0" w:color="auto"/>
        </w:rPr>
        <w:t>)</w:t>
      </w:r>
    </w:p>
    <w:p w14:paraId="1C585E9F" w14:textId="77777777" w:rsidR="004E3649" w:rsidRDefault="003E125E" w:rsidP="001124BE">
      <w:pPr>
        <w:pStyle w:val="Titre1"/>
      </w:pPr>
      <w:r>
        <w:t xml:space="preserve">Les fondements de l’ADEME sont actuellement définis </w:t>
      </w:r>
      <w:r w:rsidRPr="003E125E">
        <w:t>dans le code de l’environnement</w:t>
      </w:r>
    </w:p>
    <w:p w14:paraId="02B94B9E" w14:textId="6FADB38C" w:rsidR="00414024" w:rsidRDefault="001B3A45" w:rsidP="001B3A45">
      <w:hyperlink r:id="rId5" w:history="1">
        <w:proofErr w:type="gramStart"/>
        <w:r w:rsidR="003E125E" w:rsidRPr="001B3A45">
          <w:rPr>
            <w:rStyle w:val="Lienhypertexte"/>
          </w:rPr>
          <w:t>art</w:t>
        </w:r>
        <w:proofErr w:type="gramEnd"/>
        <w:r w:rsidR="003E125E" w:rsidRPr="001B3A45">
          <w:rPr>
            <w:rStyle w:val="Lienhypertexte"/>
          </w:rPr>
          <w:t xml:space="preserve"> L131-3 à 7</w:t>
        </w:r>
      </w:hyperlink>
    </w:p>
    <w:p w14:paraId="68DFDA54" w14:textId="688F8710" w:rsidR="00922B56" w:rsidRDefault="00B1536F" w:rsidP="001B3A45">
      <w:hyperlink r:id="rId6" w:history="1">
        <w:proofErr w:type="gramStart"/>
        <w:r w:rsidR="007769AB" w:rsidRPr="00B1536F">
          <w:rPr>
            <w:rStyle w:val="Lienhypertexte"/>
          </w:rPr>
          <w:t>art</w:t>
        </w:r>
        <w:proofErr w:type="gramEnd"/>
        <w:r w:rsidR="003E125E" w:rsidRPr="00B1536F">
          <w:rPr>
            <w:rStyle w:val="Lienhypertexte"/>
          </w:rPr>
          <w:t xml:space="preserve"> R131-1 à 26</w:t>
        </w:r>
      </w:hyperlink>
    </w:p>
    <w:p w14:paraId="3A567FA6" w14:textId="7FAABCB9" w:rsidR="003E125E" w:rsidRDefault="003E125E" w:rsidP="00211F27">
      <w:pPr>
        <w:pStyle w:val="Titre1"/>
      </w:pPr>
      <w:r>
        <w:t>Les évolutions proposées par le PJL sont les suivantes (à mi-février) :</w:t>
      </w:r>
    </w:p>
    <w:p w14:paraId="7F7B4EBF" w14:textId="49E2726C" w:rsidR="000D05A0" w:rsidRDefault="000D05A0" w:rsidP="003A5127">
      <w:pPr>
        <w:spacing w:after="0"/>
        <w:jc w:val="both"/>
        <w:rPr>
          <w:sz w:val="20"/>
          <w:szCs w:val="20"/>
        </w:rPr>
      </w:pPr>
      <w:r w:rsidRPr="000D05A0">
        <w:rPr>
          <w:b/>
          <w:bCs/>
          <w:sz w:val="20"/>
          <w:szCs w:val="20"/>
          <w:u w:val="single"/>
        </w:rPr>
        <w:t>Préfet de département</w:t>
      </w:r>
      <w:r>
        <w:rPr>
          <w:sz w:val="20"/>
          <w:szCs w:val="20"/>
        </w:rPr>
        <w:t> :</w:t>
      </w:r>
    </w:p>
    <w:p w14:paraId="052BB285" w14:textId="0D75E914" w:rsidR="003E125E" w:rsidRDefault="003E125E" w:rsidP="003A512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Il</w:t>
      </w:r>
      <w:r w:rsidRPr="003E125E">
        <w:rPr>
          <w:b/>
          <w:bCs/>
          <w:sz w:val="20"/>
          <w:szCs w:val="20"/>
        </w:rPr>
        <w:t xml:space="preserve"> </w:t>
      </w:r>
      <w:r w:rsidRPr="003E125E">
        <w:rPr>
          <w:sz w:val="20"/>
          <w:szCs w:val="20"/>
        </w:rPr>
        <w:t>confère au préfet de département, de principe, la qualité de délégué territorial des</w:t>
      </w:r>
      <w:r>
        <w:rPr>
          <w:sz w:val="20"/>
          <w:szCs w:val="20"/>
        </w:rPr>
        <w:t xml:space="preserve"> établissements publics de l’Etat dont la liste sera définie par décret en Conseil d’Etat.</w:t>
      </w:r>
    </w:p>
    <w:p w14:paraId="6228E20A" w14:textId="64FD4A08" w:rsidR="003E125E" w:rsidRDefault="003E125E" w:rsidP="003A5127">
      <w:pPr>
        <w:spacing w:after="0"/>
        <w:jc w:val="both"/>
        <w:rPr>
          <w:sz w:val="20"/>
          <w:szCs w:val="20"/>
        </w:rPr>
      </w:pPr>
      <w:r w:rsidRPr="003E125E">
        <w:rPr>
          <w:sz w:val="20"/>
          <w:szCs w:val="20"/>
        </w:rPr>
        <w:t>Il assure à ce titre la cohérence et la complémentarité de l’exercice de</w:t>
      </w:r>
      <w:r>
        <w:rPr>
          <w:sz w:val="20"/>
          <w:szCs w:val="20"/>
        </w:rPr>
        <w:t>s</w:t>
      </w:r>
      <w:r w:rsidRPr="003E125E">
        <w:rPr>
          <w:sz w:val="20"/>
          <w:szCs w:val="20"/>
        </w:rPr>
        <w:t xml:space="preserve"> missions respectives </w:t>
      </w:r>
      <w:r>
        <w:rPr>
          <w:sz w:val="20"/>
          <w:szCs w:val="20"/>
        </w:rPr>
        <w:t xml:space="preserve">[des agences] </w:t>
      </w:r>
      <w:r w:rsidRPr="003E125E">
        <w:rPr>
          <w:sz w:val="20"/>
          <w:szCs w:val="20"/>
        </w:rPr>
        <w:t>dans</w:t>
      </w:r>
      <w:r>
        <w:rPr>
          <w:sz w:val="20"/>
          <w:szCs w:val="20"/>
        </w:rPr>
        <w:t xml:space="preserve"> </w:t>
      </w:r>
      <w:r w:rsidRPr="003E125E">
        <w:rPr>
          <w:sz w:val="20"/>
          <w:szCs w:val="20"/>
        </w:rPr>
        <w:t xml:space="preserve">les territoires relevant de son ressort avec les actions des autres acteurs publics </w:t>
      </w:r>
      <w:r>
        <w:rPr>
          <w:sz w:val="20"/>
          <w:szCs w:val="20"/>
        </w:rPr>
        <w:t>l</w:t>
      </w:r>
      <w:r w:rsidRPr="003E125E">
        <w:rPr>
          <w:sz w:val="20"/>
          <w:szCs w:val="20"/>
        </w:rPr>
        <w:t>ocaux. Il peut</w:t>
      </w:r>
      <w:r>
        <w:rPr>
          <w:sz w:val="20"/>
          <w:szCs w:val="20"/>
        </w:rPr>
        <w:t xml:space="preserve"> </w:t>
      </w:r>
      <w:r w:rsidRPr="003E125E">
        <w:rPr>
          <w:sz w:val="20"/>
          <w:szCs w:val="20"/>
        </w:rPr>
        <w:t xml:space="preserve">également adresser à l’établissement </w:t>
      </w:r>
      <w:r>
        <w:rPr>
          <w:sz w:val="20"/>
          <w:szCs w:val="20"/>
        </w:rPr>
        <w:t>public</w:t>
      </w:r>
      <w:r w:rsidRPr="003E125E">
        <w:rPr>
          <w:sz w:val="20"/>
          <w:szCs w:val="20"/>
        </w:rPr>
        <w:t xml:space="preserve"> concerné des directives d'action territoriale.</w:t>
      </w:r>
    </w:p>
    <w:p w14:paraId="03602C26" w14:textId="522D80D5" w:rsidR="000D05A0" w:rsidRDefault="000D05A0" w:rsidP="003A512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Pr="000D05A0">
        <w:rPr>
          <w:sz w:val="20"/>
          <w:szCs w:val="20"/>
        </w:rPr>
        <w:t xml:space="preserve">préfet </w:t>
      </w:r>
      <w:r>
        <w:rPr>
          <w:sz w:val="20"/>
          <w:szCs w:val="20"/>
        </w:rPr>
        <w:t xml:space="preserve">est </w:t>
      </w:r>
      <w:r w:rsidRPr="000D05A0">
        <w:rPr>
          <w:sz w:val="20"/>
          <w:szCs w:val="20"/>
        </w:rPr>
        <w:t>le « guichet unique » des demandes de subvention des collectivités</w:t>
      </w:r>
      <w:r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>territoriales.</w:t>
      </w:r>
      <w:r>
        <w:rPr>
          <w:sz w:val="20"/>
          <w:szCs w:val="20"/>
        </w:rPr>
        <w:t xml:space="preserve"> [Il] </w:t>
      </w:r>
      <w:r w:rsidRPr="000D05A0">
        <w:rPr>
          <w:sz w:val="20"/>
          <w:szCs w:val="20"/>
        </w:rPr>
        <w:t>reçoit, de la part des collectivités</w:t>
      </w:r>
      <w:r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 xml:space="preserve">territoriales et de leurs groupements, les demandes </w:t>
      </w:r>
      <w:r>
        <w:rPr>
          <w:sz w:val="20"/>
          <w:szCs w:val="20"/>
        </w:rPr>
        <w:t>d</w:t>
      </w:r>
      <w:r w:rsidRPr="000D05A0">
        <w:rPr>
          <w:sz w:val="20"/>
          <w:szCs w:val="20"/>
        </w:rPr>
        <w:t>’accompagnement en ingénierie et de subvention</w:t>
      </w:r>
      <w:r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>relevant des compétences de l’Etat et de ses opérateurs, et attribue ou contresigne l’ensemble des</w:t>
      </w:r>
      <w:r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>crédits attribués aux collectivités locales, dans des conditions fixées par décret.</w:t>
      </w:r>
    </w:p>
    <w:p w14:paraId="3C156F6C" w14:textId="77777777" w:rsidR="000D05A0" w:rsidRDefault="000D05A0" w:rsidP="003A5127">
      <w:pPr>
        <w:spacing w:after="0"/>
        <w:jc w:val="both"/>
        <w:rPr>
          <w:sz w:val="20"/>
          <w:szCs w:val="20"/>
        </w:rPr>
      </w:pPr>
    </w:p>
    <w:p w14:paraId="148DF884" w14:textId="30C38A89" w:rsidR="000D05A0" w:rsidRDefault="000D05A0" w:rsidP="003A5127">
      <w:pPr>
        <w:spacing w:after="0"/>
        <w:jc w:val="both"/>
        <w:rPr>
          <w:sz w:val="20"/>
          <w:szCs w:val="20"/>
        </w:rPr>
      </w:pPr>
      <w:r w:rsidRPr="000D05A0">
        <w:rPr>
          <w:b/>
          <w:bCs/>
          <w:sz w:val="20"/>
          <w:szCs w:val="20"/>
          <w:u w:val="single"/>
        </w:rPr>
        <w:t>L’ADEME est nominativement citée</w:t>
      </w:r>
      <w:r>
        <w:rPr>
          <w:sz w:val="20"/>
          <w:szCs w:val="20"/>
        </w:rPr>
        <w:t> :</w:t>
      </w:r>
    </w:p>
    <w:p w14:paraId="2C130DC1" w14:textId="734D5609" w:rsidR="000D05A0" w:rsidRPr="000D05A0" w:rsidRDefault="000D05A0" w:rsidP="003A512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[Le PJL] </w:t>
      </w:r>
      <w:r w:rsidRPr="000D05A0">
        <w:rPr>
          <w:sz w:val="20"/>
          <w:szCs w:val="20"/>
        </w:rPr>
        <w:t>entend placer les services territoriaux de l’ADEME sous l’autorité du préfet de région et les intégrer au sein des services</w:t>
      </w:r>
      <w:r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>déconcentrés de l’Etat compétents dans le domaine de l’environnement.</w:t>
      </w:r>
    </w:p>
    <w:p w14:paraId="6756AEA2" w14:textId="6B435D91" w:rsidR="000D05A0" w:rsidRPr="000D05A0" w:rsidRDefault="000D05A0" w:rsidP="003A5127">
      <w:pPr>
        <w:spacing w:after="0"/>
        <w:jc w:val="both"/>
        <w:rPr>
          <w:sz w:val="20"/>
          <w:szCs w:val="20"/>
        </w:rPr>
      </w:pPr>
      <w:r w:rsidRPr="000D05A0">
        <w:rPr>
          <w:sz w:val="20"/>
          <w:szCs w:val="20"/>
        </w:rPr>
        <w:t>L'ADEME dispose de délégations sur l'ensemble du territoire national. Le représentant de l'Etat en</w:t>
      </w:r>
      <w:r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>est d'ores-et-déjà le délégué territorial.</w:t>
      </w:r>
      <w:r>
        <w:rPr>
          <w:sz w:val="20"/>
          <w:szCs w:val="20"/>
        </w:rPr>
        <w:t xml:space="preserve"> [Il faut] </w:t>
      </w:r>
      <w:r w:rsidRPr="000D05A0">
        <w:rPr>
          <w:sz w:val="20"/>
          <w:szCs w:val="20"/>
        </w:rPr>
        <w:t>toutefois à mettre en place une organisation plus intégrée, en faisant des</w:t>
      </w:r>
      <w:r w:rsidR="003A5127"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>DREAL les services</w:t>
      </w:r>
      <w:r w:rsidR="003A5127"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>territoriaux de l'ADEME et du préfet de région le représentant territorial de l'agence.</w:t>
      </w:r>
    </w:p>
    <w:p w14:paraId="04D20358" w14:textId="3A210E50" w:rsidR="000D05A0" w:rsidRDefault="000D05A0" w:rsidP="003A5127">
      <w:pPr>
        <w:spacing w:after="0"/>
        <w:jc w:val="both"/>
        <w:rPr>
          <w:sz w:val="20"/>
          <w:szCs w:val="20"/>
        </w:rPr>
      </w:pPr>
      <w:r w:rsidRPr="000D05A0">
        <w:rPr>
          <w:sz w:val="20"/>
          <w:szCs w:val="20"/>
        </w:rPr>
        <w:t>Cette disposition permettra de garantir la bonne coordination et synergie entre les interventions en</w:t>
      </w:r>
      <w:r w:rsidR="003A5127"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>matière régalienne et les dispositifs financiers portés par l'agence et de rendre plus lisibles les</w:t>
      </w:r>
      <w:r w:rsidR="003A5127"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>interventions de l'Etat en matière d'environnement, d'économie circulaire, de transition énergétique et</w:t>
      </w:r>
      <w:r w:rsidR="003A5127">
        <w:rPr>
          <w:sz w:val="20"/>
          <w:szCs w:val="20"/>
        </w:rPr>
        <w:t xml:space="preserve"> </w:t>
      </w:r>
      <w:r w:rsidRPr="000D05A0">
        <w:rPr>
          <w:sz w:val="20"/>
          <w:szCs w:val="20"/>
        </w:rPr>
        <w:t>d'adaptation au changement climatique.</w:t>
      </w:r>
    </w:p>
    <w:p w14:paraId="31AC6381" w14:textId="15DA3455" w:rsidR="003A5127" w:rsidRDefault="003A5127" w:rsidP="00211F27">
      <w:pPr>
        <w:pStyle w:val="Titre1"/>
      </w:pPr>
      <w:r w:rsidRPr="003A5127">
        <w:t>La traduction de ces deux intentions d’évolution dans la loi s</w:t>
      </w:r>
      <w:r w:rsidR="00211F27">
        <w:t>erai</w:t>
      </w:r>
      <w:r w:rsidRPr="003A5127">
        <w:t>t la suivante</w:t>
      </w:r>
      <w:r>
        <w:t> :</w:t>
      </w:r>
    </w:p>
    <w:p w14:paraId="47DA9D8F" w14:textId="4E9B3684" w:rsidR="00211F27" w:rsidRDefault="00211F27" w:rsidP="00211F27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Chapitre</w:t>
      </w:r>
      <w:r w:rsidRPr="00211F2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2 - </w:t>
      </w:r>
      <w:r w:rsidRPr="00211F27">
        <w:rPr>
          <w:b/>
          <w:bCs/>
          <w:sz w:val="20"/>
          <w:szCs w:val="20"/>
        </w:rPr>
        <w:t>Le renforcement du rôle du représentant de l’Etat</w:t>
      </w:r>
    </w:p>
    <w:p w14:paraId="4EE0B47B" w14:textId="5C41154A" w:rsidR="003A5127" w:rsidRDefault="003A5127" w:rsidP="00211F27">
      <w:pPr>
        <w:spacing w:after="0"/>
        <w:jc w:val="both"/>
        <w:rPr>
          <w:sz w:val="20"/>
          <w:szCs w:val="20"/>
        </w:rPr>
      </w:pPr>
      <w:r w:rsidRPr="003A5127">
        <w:rPr>
          <w:sz w:val="20"/>
          <w:szCs w:val="20"/>
        </w:rPr>
        <w:t>Le représentant de l’Etat, selon le cas, dans les régions, les départements, les collectivités à statut</w:t>
      </w:r>
      <w:r>
        <w:rPr>
          <w:sz w:val="20"/>
          <w:szCs w:val="20"/>
        </w:rPr>
        <w:t xml:space="preserve"> </w:t>
      </w:r>
      <w:r w:rsidRPr="003A5127">
        <w:rPr>
          <w:sz w:val="20"/>
          <w:szCs w:val="20"/>
        </w:rPr>
        <w:t>particulier ou les collectivités d'outre-mer mentionnées à l'article 72-3 de la Constitution est le</w:t>
      </w:r>
      <w:r>
        <w:rPr>
          <w:sz w:val="20"/>
          <w:szCs w:val="20"/>
        </w:rPr>
        <w:t xml:space="preserve"> </w:t>
      </w:r>
      <w:r w:rsidRPr="003A5127">
        <w:rPr>
          <w:sz w:val="20"/>
          <w:szCs w:val="20"/>
        </w:rPr>
        <w:t>délégué territorial des établissements publics et groupements d’intérêt public de l’État exerçant des</w:t>
      </w:r>
      <w:r>
        <w:rPr>
          <w:sz w:val="20"/>
          <w:szCs w:val="20"/>
        </w:rPr>
        <w:t xml:space="preserve"> </w:t>
      </w:r>
      <w:r w:rsidRPr="003A5127">
        <w:rPr>
          <w:sz w:val="20"/>
          <w:szCs w:val="20"/>
        </w:rPr>
        <w:t>missions territoriales dont la liste est définie par décret en Conseil d’Etat.</w:t>
      </w:r>
    </w:p>
    <w:p w14:paraId="45A82413" w14:textId="77777777" w:rsidR="003A5127" w:rsidRDefault="003A5127" w:rsidP="003A5127">
      <w:pPr>
        <w:spacing w:after="0"/>
        <w:jc w:val="both"/>
        <w:rPr>
          <w:sz w:val="20"/>
          <w:szCs w:val="20"/>
        </w:rPr>
      </w:pPr>
    </w:p>
    <w:p w14:paraId="033CD8AD" w14:textId="77777777" w:rsidR="003A5127" w:rsidRPr="003A5127" w:rsidRDefault="003A5127" w:rsidP="003A5127">
      <w:pPr>
        <w:spacing w:after="0"/>
        <w:jc w:val="both"/>
        <w:rPr>
          <w:i/>
          <w:iCs/>
          <w:sz w:val="20"/>
          <w:szCs w:val="20"/>
        </w:rPr>
      </w:pPr>
      <w:r w:rsidRPr="003A5127">
        <w:rPr>
          <w:i/>
          <w:iCs/>
          <w:sz w:val="20"/>
          <w:szCs w:val="20"/>
        </w:rPr>
        <w:t>NDLR : le flou entre « préfet de département » et « préfet de région » sera-t-il précisé dans le décret ?</w:t>
      </w:r>
    </w:p>
    <w:p w14:paraId="4AB0FF3E" w14:textId="77777777" w:rsidR="003A5127" w:rsidRDefault="003A5127" w:rsidP="003A5127">
      <w:pPr>
        <w:spacing w:after="0"/>
        <w:jc w:val="both"/>
        <w:rPr>
          <w:sz w:val="20"/>
          <w:szCs w:val="20"/>
        </w:rPr>
      </w:pPr>
    </w:p>
    <w:p w14:paraId="6244BB0D" w14:textId="77777777" w:rsidR="00211F27" w:rsidRDefault="003A5127" w:rsidP="003A5127">
      <w:pPr>
        <w:spacing w:after="0"/>
        <w:jc w:val="both"/>
        <w:rPr>
          <w:sz w:val="20"/>
          <w:szCs w:val="20"/>
        </w:rPr>
      </w:pPr>
      <w:r w:rsidRPr="003A5127">
        <w:rPr>
          <w:sz w:val="20"/>
          <w:szCs w:val="20"/>
        </w:rPr>
        <w:t>Il assure à ce titre la cohérence et la complémentarité de l’exercice de leurs missions respectives dans</w:t>
      </w:r>
      <w:r>
        <w:rPr>
          <w:sz w:val="20"/>
          <w:szCs w:val="20"/>
        </w:rPr>
        <w:t xml:space="preserve"> </w:t>
      </w:r>
      <w:r w:rsidRPr="003A5127">
        <w:rPr>
          <w:sz w:val="20"/>
          <w:szCs w:val="20"/>
        </w:rPr>
        <w:t>les territoires relevant de son ressort avec les actions des autres acteurs publics locaux. Il peut</w:t>
      </w:r>
      <w:r>
        <w:rPr>
          <w:sz w:val="20"/>
          <w:szCs w:val="20"/>
        </w:rPr>
        <w:t xml:space="preserve"> </w:t>
      </w:r>
      <w:r w:rsidRPr="003A5127">
        <w:rPr>
          <w:sz w:val="20"/>
          <w:szCs w:val="20"/>
        </w:rPr>
        <w:t>également adresser à l’établissement ou au groupement concerné des directives d'action territoriale.</w:t>
      </w:r>
    </w:p>
    <w:p w14:paraId="0FEC912A" w14:textId="77777777" w:rsidR="00211F27" w:rsidRDefault="00211F27" w:rsidP="003A5127">
      <w:pPr>
        <w:spacing w:after="0"/>
        <w:jc w:val="both"/>
        <w:rPr>
          <w:sz w:val="20"/>
          <w:szCs w:val="20"/>
        </w:rPr>
      </w:pPr>
    </w:p>
    <w:p w14:paraId="4227E0C5" w14:textId="77777777" w:rsidR="00211F27" w:rsidRDefault="003A5127" w:rsidP="003A5127">
      <w:pPr>
        <w:spacing w:after="0"/>
        <w:jc w:val="both"/>
        <w:rPr>
          <w:sz w:val="20"/>
          <w:szCs w:val="20"/>
        </w:rPr>
      </w:pPr>
      <w:r w:rsidRPr="003A5127">
        <w:rPr>
          <w:sz w:val="20"/>
          <w:szCs w:val="20"/>
        </w:rPr>
        <w:t>Il contresigne leurs décisions d’intervention financière significatives définies par voie réglementaire.</w:t>
      </w:r>
      <w:r>
        <w:rPr>
          <w:sz w:val="20"/>
          <w:szCs w:val="20"/>
        </w:rPr>
        <w:t xml:space="preserve"> </w:t>
      </w:r>
      <w:r w:rsidRPr="003A5127">
        <w:rPr>
          <w:sz w:val="20"/>
          <w:szCs w:val="20"/>
        </w:rPr>
        <w:t>Il peut demander le réexamen d’une décision ayant une incidence dans sa circonscription territoriale.</w:t>
      </w:r>
      <w:r>
        <w:rPr>
          <w:sz w:val="20"/>
          <w:szCs w:val="20"/>
        </w:rPr>
        <w:t xml:space="preserve"> </w:t>
      </w:r>
      <w:r w:rsidRPr="003A5127">
        <w:rPr>
          <w:sz w:val="20"/>
          <w:szCs w:val="20"/>
        </w:rPr>
        <w:t>Dans ce cas, l’établissement ou le groupement suspend l’exécution de la décision jusqu’au réexamen.</w:t>
      </w:r>
    </w:p>
    <w:p w14:paraId="4653AE74" w14:textId="77777777" w:rsidR="00211F27" w:rsidRDefault="00211F27" w:rsidP="003A5127">
      <w:pPr>
        <w:spacing w:after="0"/>
        <w:jc w:val="both"/>
        <w:rPr>
          <w:sz w:val="20"/>
          <w:szCs w:val="20"/>
        </w:rPr>
      </w:pPr>
    </w:p>
    <w:p w14:paraId="4A5BF0C9" w14:textId="0EE6C657" w:rsidR="003A5127" w:rsidRDefault="003A5127" w:rsidP="003A5127">
      <w:pPr>
        <w:spacing w:after="0"/>
        <w:jc w:val="both"/>
        <w:rPr>
          <w:sz w:val="20"/>
          <w:szCs w:val="20"/>
        </w:rPr>
      </w:pPr>
      <w:r w:rsidRPr="003A5127">
        <w:rPr>
          <w:sz w:val="20"/>
          <w:szCs w:val="20"/>
        </w:rPr>
        <w:t>Le délégué territorial exerce ses missions dans le respect des compétences et des décisions des</w:t>
      </w:r>
      <w:r>
        <w:rPr>
          <w:sz w:val="20"/>
          <w:szCs w:val="20"/>
        </w:rPr>
        <w:t xml:space="preserve"> </w:t>
      </w:r>
      <w:r w:rsidRPr="003A5127">
        <w:rPr>
          <w:sz w:val="20"/>
          <w:szCs w:val="20"/>
        </w:rPr>
        <w:t>organes délibérants et exécutifs de l'établissement ou du groupement. Ses missions ne s’appliquent</w:t>
      </w:r>
      <w:r>
        <w:rPr>
          <w:sz w:val="20"/>
          <w:szCs w:val="20"/>
        </w:rPr>
        <w:t xml:space="preserve"> </w:t>
      </w:r>
      <w:r w:rsidRPr="003A5127">
        <w:rPr>
          <w:sz w:val="20"/>
          <w:szCs w:val="20"/>
        </w:rPr>
        <w:t>pas aux activités économiques et concurrentielles des établissements publics ou groupements</w:t>
      </w:r>
      <w:r>
        <w:rPr>
          <w:sz w:val="20"/>
          <w:szCs w:val="20"/>
        </w:rPr>
        <w:t xml:space="preserve"> </w:t>
      </w:r>
      <w:r w:rsidRPr="003A5127">
        <w:rPr>
          <w:sz w:val="20"/>
          <w:szCs w:val="20"/>
        </w:rPr>
        <w:t>d’intérêt public.</w:t>
      </w:r>
    </w:p>
    <w:p w14:paraId="1A005184" w14:textId="4B11ADE3" w:rsidR="003A5127" w:rsidRDefault="003A5127" w:rsidP="003A5127">
      <w:pPr>
        <w:spacing w:after="0"/>
        <w:jc w:val="both"/>
        <w:rPr>
          <w:sz w:val="20"/>
          <w:szCs w:val="20"/>
        </w:rPr>
      </w:pPr>
      <w:r w:rsidRPr="003A5127">
        <w:rPr>
          <w:sz w:val="20"/>
          <w:szCs w:val="20"/>
        </w:rPr>
        <w:t xml:space="preserve">Le deuxième alinéa du IV de l'article </w:t>
      </w:r>
      <w:r w:rsidRPr="00211F27">
        <w:rPr>
          <w:sz w:val="20"/>
          <w:szCs w:val="20"/>
          <w:highlight w:val="yellow"/>
        </w:rPr>
        <w:t>L. 131-3</w:t>
      </w:r>
      <w:r w:rsidRPr="003A5127">
        <w:rPr>
          <w:sz w:val="20"/>
          <w:szCs w:val="20"/>
        </w:rPr>
        <w:t xml:space="preserve"> </w:t>
      </w:r>
      <w:r w:rsidR="00211F27">
        <w:rPr>
          <w:sz w:val="20"/>
          <w:szCs w:val="20"/>
        </w:rPr>
        <w:t xml:space="preserve">du code de l’environnement </w:t>
      </w:r>
      <w:r w:rsidRPr="003A5127">
        <w:rPr>
          <w:sz w:val="20"/>
          <w:szCs w:val="20"/>
        </w:rPr>
        <w:t>est supprimé</w:t>
      </w:r>
    </w:p>
    <w:p w14:paraId="56BD4148" w14:textId="77777777" w:rsidR="00211F27" w:rsidRDefault="00211F27" w:rsidP="003A5127">
      <w:pPr>
        <w:spacing w:after="0"/>
        <w:jc w:val="both"/>
        <w:rPr>
          <w:sz w:val="20"/>
          <w:szCs w:val="20"/>
        </w:rPr>
      </w:pPr>
    </w:p>
    <w:p w14:paraId="7B582A35" w14:textId="27720813" w:rsidR="003A5127" w:rsidRPr="00211F27" w:rsidRDefault="00211F27" w:rsidP="00211F27">
      <w:pPr>
        <w:spacing w:after="0"/>
        <w:jc w:val="both"/>
        <w:rPr>
          <w:b/>
          <w:bCs/>
          <w:sz w:val="20"/>
          <w:szCs w:val="20"/>
        </w:rPr>
      </w:pPr>
      <w:r w:rsidRPr="00211F27">
        <w:rPr>
          <w:b/>
          <w:bCs/>
          <w:sz w:val="20"/>
          <w:szCs w:val="20"/>
        </w:rPr>
        <w:t>Article XX</w:t>
      </w:r>
      <w:r>
        <w:rPr>
          <w:b/>
          <w:bCs/>
          <w:sz w:val="20"/>
          <w:szCs w:val="20"/>
        </w:rPr>
        <w:t xml:space="preserve"> </w:t>
      </w:r>
      <w:r w:rsidR="001124BE">
        <w:rPr>
          <w:b/>
          <w:bCs/>
          <w:sz w:val="20"/>
          <w:szCs w:val="20"/>
        </w:rPr>
        <w:t>- I</w:t>
      </w:r>
      <w:r w:rsidRPr="00211F27">
        <w:rPr>
          <w:b/>
          <w:bCs/>
          <w:sz w:val="20"/>
          <w:szCs w:val="20"/>
        </w:rPr>
        <w:t>ntégration des délégations territoriales de l’ADEME au sein des DREAL</w:t>
      </w:r>
    </w:p>
    <w:p w14:paraId="6EDC2582" w14:textId="75C6C636" w:rsidR="00211F27" w:rsidRDefault="00211F27" w:rsidP="00211F27">
      <w:pPr>
        <w:spacing w:after="0"/>
        <w:jc w:val="both"/>
        <w:rPr>
          <w:sz w:val="20"/>
          <w:szCs w:val="20"/>
        </w:rPr>
      </w:pPr>
      <w:r w:rsidRPr="00211F27">
        <w:rPr>
          <w:sz w:val="20"/>
          <w:szCs w:val="20"/>
        </w:rPr>
        <w:t xml:space="preserve">Le IV de </w:t>
      </w:r>
      <w:hyperlink r:id="rId7" w:history="1">
        <w:r w:rsidRPr="000315AC">
          <w:rPr>
            <w:rStyle w:val="Lienhypertexte"/>
            <w:sz w:val="20"/>
            <w:szCs w:val="20"/>
          </w:rPr>
          <w:t>l’article L. 131-3 du code de l’environnement</w:t>
        </w:r>
      </w:hyperlink>
      <w:r w:rsidRPr="00211F27">
        <w:rPr>
          <w:sz w:val="20"/>
          <w:szCs w:val="20"/>
        </w:rPr>
        <w:t xml:space="preserve"> est remplacé par les dispositions suivantes :</w:t>
      </w:r>
    </w:p>
    <w:p w14:paraId="21901362" w14:textId="03EA940B" w:rsidR="00211F27" w:rsidRPr="00211F27" w:rsidRDefault="00211F27" w:rsidP="00211F27">
      <w:pPr>
        <w:spacing w:after="0"/>
        <w:jc w:val="both"/>
        <w:rPr>
          <w:sz w:val="20"/>
          <w:szCs w:val="20"/>
        </w:rPr>
      </w:pPr>
      <w:r w:rsidRPr="00211F27">
        <w:rPr>
          <w:sz w:val="20"/>
          <w:szCs w:val="20"/>
        </w:rPr>
        <w:t xml:space="preserve">« </w:t>
      </w:r>
      <w:r w:rsidRPr="00211F27">
        <w:rPr>
          <w:i/>
          <w:iCs/>
          <w:sz w:val="20"/>
          <w:szCs w:val="20"/>
        </w:rPr>
        <w:t xml:space="preserve">IV. </w:t>
      </w:r>
      <w:r w:rsidRPr="00211F27">
        <w:rPr>
          <w:sz w:val="20"/>
          <w:szCs w:val="20"/>
        </w:rPr>
        <w:t>Le représentant de l'Etat, selon le cas, dans les régions, la collectivité de Corse, les collectivités</w:t>
      </w:r>
      <w:r w:rsidR="001124BE">
        <w:rPr>
          <w:sz w:val="20"/>
          <w:szCs w:val="20"/>
        </w:rPr>
        <w:t xml:space="preserve"> </w:t>
      </w:r>
      <w:r w:rsidRPr="00211F27">
        <w:rPr>
          <w:sz w:val="20"/>
          <w:szCs w:val="20"/>
        </w:rPr>
        <w:t>régies par les articles 73 ou 74 de la Constitution et en Nouvelle-Calédonie est le délégué territorial</w:t>
      </w:r>
      <w:r w:rsidR="001124BE">
        <w:rPr>
          <w:sz w:val="20"/>
          <w:szCs w:val="20"/>
        </w:rPr>
        <w:t xml:space="preserve"> </w:t>
      </w:r>
      <w:r w:rsidRPr="00211F27">
        <w:rPr>
          <w:sz w:val="20"/>
          <w:szCs w:val="20"/>
        </w:rPr>
        <w:t>de l'agence.</w:t>
      </w:r>
    </w:p>
    <w:p w14:paraId="6E43E0F4" w14:textId="24AEC85E" w:rsidR="00211F27" w:rsidRPr="00211F27" w:rsidRDefault="00211F27" w:rsidP="00211F27">
      <w:pPr>
        <w:spacing w:after="0"/>
        <w:jc w:val="both"/>
        <w:rPr>
          <w:sz w:val="20"/>
          <w:szCs w:val="20"/>
        </w:rPr>
      </w:pPr>
      <w:r w:rsidRPr="00211F27">
        <w:rPr>
          <w:sz w:val="20"/>
          <w:szCs w:val="20"/>
        </w:rPr>
        <w:t>Pour accomplir ses missions, l'agence dispose d'une délégation dans chaque région.</w:t>
      </w:r>
      <w:r w:rsidR="001124BE">
        <w:rPr>
          <w:sz w:val="20"/>
          <w:szCs w:val="20"/>
        </w:rPr>
        <w:t xml:space="preserve"> </w:t>
      </w:r>
      <w:r w:rsidRPr="00211F27">
        <w:rPr>
          <w:sz w:val="20"/>
          <w:szCs w:val="20"/>
        </w:rPr>
        <w:t>Cette délégation est intégrée aux services déconcentrés de l’Etat compétents en matière</w:t>
      </w:r>
      <w:r w:rsidR="001124BE">
        <w:rPr>
          <w:sz w:val="20"/>
          <w:szCs w:val="20"/>
        </w:rPr>
        <w:t xml:space="preserve"> </w:t>
      </w:r>
      <w:r w:rsidRPr="00211F27">
        <w:rPr>
          <w:sz w:val="20"/>
          <w:szCs w:val="20"/>
        </w:rPr>
        <w:t>d’environnement et placée sous l’autorité du représentant de l’Etat.</w:t>
      </w:r>
    </w:p>
    <w:p w14:paraId="24AFBD72" w14:textId="7DFD48C2" w:rsidR="00211F27" w:rsidRPr="00211F27" w:rsidRDefault="00211F27" w:rsidP="00211F27">
      <w:pPr>
        <w:spacing w:after="0"/>
        <w:jc w:val="both"/>
        <w:rPr>
          <w:sz w:val="20"/>
          <w:szCs w:val="20"/>
        </w:rPr>
      </w:pPr>
      <w:commentRangeStart w:id="0"/>
      <w:r w:rsidRPr="00211F27">
        <w:rPr>
          <w:sz w:val="20"/>
          <w:szCs w:val="20"/>
        </w:rPr>
        <w:t>Des personnels de l’agence peuvent être mis à disposition d'office dans les services déconcentrés de</w:t>
      </w:r>
      <w:r w:rsidR="001124BE">
        <w:rPr>
          <w:sz w:val="20"/>
          <w:szCs w:val="20"/>
        </w:rPr>
        <w:t xml:space="preserve"> </w:t>
      </w:r>
      <w:r w:rsidRPr="00211F27">
        <w:rPr>
          <w:sz w:val="20"/>
          <w:szCs w:val="20"/>
        </w:rPr>
        <w:t>l'Etat, pendant une durée de trois ans, renouvelable de plein droit à leur demande.</w:t>
      </w:r>
      <w:commentRangeEnd w:id="0"/>
      <w:r w:rsidR="00FD3536">
        <w:rPr>
          <w:rStyle w:val="Marquedecommentaire"/>
        </w:rPr>
        <w:commentReference w:id="0"/>
      </w:r>
    </w:p>
    <w:p w14:paraId="62B705D9" w14:textId="58384CF1" w:rsidR="00211F27" w:rsidRPr="00211F27" w:rsidRDefault="00211F27" w:rsidP="00211F27">
      <w:pPr>
        <w:spacing w:after="0"/>
        <w:jc w:val="both"/>
        <w:rPr>
          <w:sz w:val="20"/>
          <w:szCs w:val="20"/>
        </w:rPr>
      </w:pPr>
      <w:r w:rsidRPr="00211F27">
        <w:rPr>
          <w:sz w:val="20"/>
          <w:szCs w:val="20"/>
        </w:rPr>
        <w:t>Une convention conclue entre l'État et l'agence détermine les modalités de mise à disposition et fixe</w:t>
      </w:r>
      <w:r w:rsidR="001124BE">
        <w:rPr>
          <w:sz w:val="20"/>
          <w:szCs w:val="20"/>
        </w:rPr>
        <w:t xml:space="preserve"> </w:t>
      </w:r>
      <w:commentRangeStart w:id="1"/>
      <w:r w:rsidRPr="00211F27">
        <w:rPr>
          <w:sz w:val="20"/>
          <w:szCs w:val="20"/>
        </w:rPr>
        <w:t>la liste des personnels concernés</w:t>
      </w:r>
      <w:commentRangeEnd w:id="1"/>
      <w:r w:rsidR="00954CD7">
        <w:rPr>
          <w:rStyle w:val="Marquedecommentaire"/>
        </w:rPr>
        <w:commentReference w:id="1"/>
      </w:r>
      <w:r w:rsidRPr="00211F27">
        <w:rPr>
          <w:sz w:val="20"/>
          <w:szCs w:val="20"/>
        </w:rPr>
        <w:t>.</w:t>
      </w:r>
    </w:p>
    <w:p w14:paraId="175D6D15" w14:textId="4B5D584A" w:rsidR="00211F27" w:rsidRPr="00211F27" w:rsidRDefault="00211F27" w:rsidP="00211F27">
      <w:pPr>
        <w:spacing w:after="0"/>
        <w:jc w:val="both"/>
        <w:rPr>
          <w:sz w:val="20"/>
          <w:szCs w:val="20"/>
        </w:rPr>
      </w:pPr>
      <w:r w:rsidRPr="00211F27">
        <w:rPr>
          <w:sz w:val="20"/>
          <w:szCs w:val="20"/>
        </w:rPr>
        <w:t>Le représentant de l’Etat a autorité hiérarchique sur ces personnels. Le directeur général de l’agence</w:t>
      </w:r>
      <w:r w:rsidR="001124BE">
        <w:rPr>
          <w:sz w:val="20"/>
          <w:szCs w:val="20"/>
        </w:rPr>
        <w:t xml:space="preserve"> </w:t>
      </w:r>
      <w:r w:rsidRPr="00211F27">
        <w:rPr>
          <w:sz w:val="20"/>
          <w:szCs w:val="20"/>
        </w:rPr>
        <w:t>peut lui déléguer sa signature.</w:t>
      </w:r>
    </w:p>
    <w:p w14:paraId="42DFFE71" w14:textId="762E8270" w:rsidR="00211F27" w:rsidRPr="00F95680" w:rsidRDefault="00211F27" w:rsidP="00211F27">
      <w:pPr>
        <w:spacing w:after="0"/>
        <w:jc w:val="both"/>
        <w:rPr>
          <w:sz w:val="20"/>
          <w:szCs w:val="20"/>
        </w:rPr>
      </w:pPr>
      <w:r w:rsidRPr="00211F27">
        <w:rPr>
          <w:sz w:val="20"/>
          <w:szCs w:val="20"/>
        </w:rPr>
        <w:t>Les conditions d’application du présent IV sont définies par décret en Conseil d’Etat.</w:t>
      </w:r>
    </w:p>
    <w:sectPr w:rsidR="00211F27" w:rsidRPr="00F95680" w:rsidSect="00D9757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ZAUX Pierre-louis" w:date="2026-02-25T14:21:00Z" w:initials="PC">
    <w:p w14:paraId="2DB8E0CA" w14:textId="77777777" w:rsidR="00782916" w:rsidRDefault="00FD3536" w:rsidP="00782916">
      <w:pPr>
        <w:pStyle w:val="Commentaire"/>
      </w:pPr>
      <w:r>
        <w:rPr>
          <w:rStyle w:val="Marquedecommentaire"/>
        </w:rPr>
        <w:annotationRef/>
      </w:r>
      <w:r w:rsidR="00782916">
        <w:t>MAD signifie qu’on garde un CDI ADEME, mais qu’on travaille pour un service et sous l’autorité de la DREAL</w:t>
      </w:r>
    </w:p>
    <w:p w14:paraId="71376886" w14:textId="77777777" w:rsidR="00782916" w:rsidRDefault="00782916" w:rsidP="00782916">
      <w:pPr>
        <w:pStyle w:val="Commentaire"/>
      </w:pPr>
      <w:r>
        <w:t>Une MAD d’office est une MAD OBLIGATOIRE. ON NE PEUT PAS la refuser. Par contre, comme c’est écrit, au bout de 3 ans on peut ne pas la reconduire… Etonnant...</w:t>
      </w:r>
    </w:p>
  </w:comment>
  <w:comment w:id="1" w:author="CAZAUX Pierre-louis" w:date="2026-02-25T14:21:00Z" w:initials="PC">
    <w:p w14:paraId="1E69590A" w14:textId="60A8847E" w:rsidR="00954CD7" w:rsidRDefault="00954CD7" w:rsidP="00954CD7">
      <w:pPr>
        <w:pStyle w:val="Commentaire"/>
      </w:pPr>
      <w:r>
        <w:rPr>
          <w:rStyle w:val="Marquedecommentaire"/>
        </w:rPr>
        <w:annotationRef/>
      </w:r>
      <w:r>
        <w:t>Donc les DR ADEME ne sont pas intégralement intégrées aux DREAL...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376886" w15:done="0"/>
  <w15:commentEx w15:paraId="1E6959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A211C3" w16cex:dateUtc="2026-02-25T13:21:00Z"/>
  <w16cex:commentExtensible w16cex:durableId="7EDB32E2" w16cex:dateUtc="2026-02-25T1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376886" w16cid:durableId="5AA211C3"/>
  <w16cid:commentId w16cid:paraId="1E69590A" w16cid:durableId="7EDB32E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ZAUX Pierre-louis">
    <w15:presenceInfo w15:providerId="AD" w15:userId="S::pierre-louis.cazaux@ademe.fr::db463511-f3f6-459a-9040-00d5a319ba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DE"/>
    <w:rsid w:val="000315AC"/>
    <w:rsid w:val="000D05A0"/>
    <w:rsid w:val="000F4578"/>
    <w:rsid w:val="001124BE"/>
    <w:rsid w:val="001B3A45"/>
    <w:rsid w:val="00211F27"/>
    <w:rsid w:val="003A5127"/>
    <w:rsid w:val="003C29AE"/>
    <w:rsid w:val="003E125E"/>
    <w:rsid w:val="00414024"/>
    <w:rsid w:val="004E3649"/>
    <w:rsid w:val="006F4663"/>
    <w:rsid w:val="007769AB"/>
    <w:rsid w:val="00782916"/>
    <w:rsid w:val="00922B56"/>
    <w:rsid w:val="00954CD7"/>
    <w:rsid w:val="00B1536F"/>
    <w:rsid w:val="00C679A3"/>
    <w:rsid w:val="00C67DDE"/>
    <w:rsid w:val="00D9757C"/>
    <w:rsid w:val="00DB4E0E"/>
    <w:rsid w:val="00E03383"/>
    <w:rsid w:val="00F95680"/>
    <w:rsid w:val="00FC5A06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7A74"/>
  <w15:chartTrackingRefBased/>
  <w15:docId w15:val="{4E3BF7B8-CBCE-4A1A-AAF9-233B0B05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7D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7D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7D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7D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7D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7D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7D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7D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7D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7D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7D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7D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7D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7D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7D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7D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7D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7D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7D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7D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7DD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124B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24B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D35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35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35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35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35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s://ademecloud-my.sharepoint.com/personal/pierre-louis_cazaux_ademe_fr/Documents/Documents/2020/Sne/Evolution%20ADEME/Recours/Art%20131.3%20du%20code%20de%20l'environnement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emecloud-my.sharepoint.com/personal/pierre-louis_cazaux_ademe_fr/Documents/Documents/2020/Sne/Evolution%20ADEME/Recours/Art%20R%20131%20du%20code%20de%20l'environnement.pdf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ademecloud-my.sharepoint.com/personal/pierre-louis_cazaux_ademe_fr/Documents/Documents/2020/Sne/Evolution%20ADEME/Recours/art%20L131%20du%20code%20de%20l'environnement.pdf" TargetMode="External"/><Relationship Id="rId10" Type="http://schemas.microsoft.com/office/2016/09/relationships/commentsIds" Target="commentsIds.xml"/><Relationship Id="rId4" Type="http://schemas.openxmlformats.org/officeDocument/2006/relationships/hyperlink" Target="https://www.contexte.com/" TargetMode="Externa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ce3bfb-fff1-481a-835b-0a342757958d}" enabled="1" method="Standard" siteId="{cb6c2492-4a85-4b15-85a1-ed94d47e584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CAZAUX Pierre-louis</dc:creator>
  <cp:keywords/>
  <dc:description/>
  <cp:lastModifiedBy>CAZAUX Pierre-louis</cp:lastModifiedBy>
  <cp:revision>15</cp:revision>
  <dcterms:created xsi:type="dcterms:W3CDTF">2026-02-24T16:30:00Z</dcterms:created>
  <dcterms:modified xsi:type="dcterms:W3CDTF">2026-02-25T15:19:00Z</dcterms:modified>
</cp:coreProperties>
</file>